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5 april 2024, betreft: peiling onder bewoners om de gemeente in gebreke te stellen op infra.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Beste bewoner,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Helaas is de infrastructuur op dit park versleten, waardoor mensonterende omstandigheden ontstaan en onze veiligheid in het geding is. We maken ons hier zorgen over.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Een kleine greep uit de problemen: Water in de gasleidingen, gasuitval in de winter, stroompieken of juist stroomdalen, verstopte riolering, ontlasting slaat terug door doucheputjes, rioolstank uit de gootsteen, legionellagevaar in de waterleiding, stroomkastjes die in brand vliegen, gaslekken en ontploffingsgevaar.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Tergouw had een voorziening dienen te treffen om de infra mee te renoveren in de toekomst. De betaalde gelden van bewoners in het verleden zijn in de boekhouding niet als voorziening terechtgekomen, terwijl een onderzoek van de BBRT uitwijst dat er ruim 5 miljoen euro beschikbaar zou moeten zijn. Al een decennium lang doet Tergouw diverse beloftes over infra renovatie zonder deze na te komen helaas.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De gemeente Overbetuwe heeft tussen 2011 en 2014 diverse schriftelijke toezeggingen gedaan, waaronder dat de gemeente met een plan van aanpak zou komen voor infrastructurele verbeteringen, wat passend zou zijn om van een recreatiepark naar permanente bewoning te gaan. Dit plan is nooit gekomen. Tergouw heeft in 2015 en 2016 brieven gestuurd waarbij er een garantie kwam dat een verhoging van de jaarnota aangewend zou worden voor infra renovatie en dat er een plan zou worden gepresenteerd. Dit plan is nooit gekomen. Geen paaltje is in de grond geslagen.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Tientallen bewoners, in diverse clubjes, samenstellingen en jaartallen, hebben de gemeente en Tergouw gewezen op erbarmelijke, gevaarlijke omstandigheden die ontstaan door de gammele infrastructuur. Helaas koos de gemeente er bewust voor om deze gevaarlijke situatie te laten ontstaan. Door deze bewuste keuze is de gemeente (mede)aansprakelijk voor de ontstane situatie.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De gemeente en haar huisadvocaat beroepen zich anno 2024 op het feit dat Tergouw privaat is en negeert alle toezeggingen sinds 2011. De afgelopen maanden heeft een klein gezelschap bewoners een volledig dossier aangelegd en dit getoetst bij een advocaat waaruit blijkt dat de gemeente wel degelijk aansprakelijk is voor de miljoenenschade. We willen voorkomen dat Tergouw en de gemeente de miljoenenschade in de schoenen van de bewoners in de huidige contractuele situatie schuiven of dat bij vertrek van Tergouw als beheerder de rampzalige boedel voor rekening komt van een opvolgingsvorm waarbij wij bewoners dan wel heel erg veel sigaren uit eigen doos moeten ophoesten.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We overwegen een ingebrekestelling richting de gemeente. Het is dan aan de gemeente hoe Tergouw in beweging te krijgen. Er zijn geen kosten hieraan voor u verbonden. Met deze brief willen we gaan tellen hoeveel steun er is onder de bewoners. Indien er te weinig steun is, stopt dit initiatief. Indien er genoeg steun is, komt de vervolgstap in een volgende brief.</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Zie ommezijde.</w:t>
      </w:r>
    </w:p>
    <w:p w:rsidR="00000000" w:rsidDel="00000000" w:rsidP="00000000" w:rsidRDefault="00000000" w:rsidRPr="00000000" w14:paraId="00000014">
      <w:pPr>
        <w:rPr/>
      </w:pPr>
      <w:r w:rsidDel="00000000" w:rsidR="00000000" w:rsidRPr="00000000">
        <w:rPr>
          <w:rtl w:val="0"/>
        </w:rPr>
        <w:t xml:space="preserve">Met vriendelijk groet,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Jaap Amesz, Arnold van Andel, Bart van Campen,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en medeondertekend door:</w:t>
      </w:r>
    </w:p>
    <w:p w:rsidR="00000000" w:rsidDel="00000000" w:rsidP="00000000" w:rsidRDefault="00000000" w:rsidRPr="00000000" w14:paraId="00000019">
      <w:pPr>
        <w:shd w:fill="ffffff" w:val="clear"/>
        <w:rPr>
          <w:rFonts w:ascii="Roboto" w:cs="Roboto" w:eastAsia="Roboto" w:hAnsi="Roboto"/>
          <w:color w:val="242424"/>
          <w:sz w:val="23"/>
          <w:szCs w:val="23"/>
        </w:rPr>
      </w:pPr>
      <w:r w:rsidDel="00000000" w:rsidR="00000000" w:rsidRPr="00000000">
        <w:rPr>
          <w:rtl w:val="0"/>
        </w:rPr>
      </w:r>
    </w:p>
    <w:p w:rsidR="00000000" w:rsidDel="00000000" w:rsidP="00000000" w:rsidRDefault="00000000" w:rsidRPr="00000000" w14:paraId="0000001A">
      <w:pPr>
        <w:shd w:fill="ffffff" w:val="clear"/>
        <w:rPr/>
      </w:pPr>
      <w:r w:rsidDel="00000000" w:rsidR="00000000" w:rsidRPr="00000000">
        <w:rPr>
          <w:rFonts w:ascii="Roboto" w:cs="Roboto" w:eastAsia="Roboto" w:hAnsi="Roboto"/>
          <w:color w:val="242424"/>
          <w:sz w:val="23"/>
          <w:szCs w:val="23"/>
          <w:rtl w:val="0"/>
        </w:rPr>
        <w:t xml:space="preserve">Benno Kersten en Sudawan Niamjan, Geuko Siebenga, Theo en Miranda Schriever, Cor van der Horst, Peter Geerling, Hans en Margreth Ahlers, Martin van de Heiden en Ilse Nijveld,  Gijs Westerman, Hans Schrier, Patricia van Grevenbroek, Kamil en Annemarie Marlet, Diana van Achterbergh, Henny Hermeling, Wilma en Toon Giesbers, Shelby Kuypers en Myke Koenen, Marian Jansen en Peter Mulder, Melanie van Megen en Rerink, Jacco Franken, Lillian Janssens, Marcel Vos, Avelien Slagter, Reinder Groenhof, Thomas Jacobs, Willie van der Wijst en Fenneke Melles, Andrea en Martin Boeters, </w:t>
      </w:r>
      <w:r w:rsidDel="00000000" w:rsidR="00000000" w:rsidRPr="00000000">
        <w:rPr>
          <w:rFonts w:ascii="Roboto" w:cs="Roboto" w:eastAsia="Roboto" w:hAnsi="Roboto"/>
          <w:color w:val="242424"/>
          <w:sz w:val="23"/>
          <w:szCs w:val="23"/>
          <w:highlight w:val="white"/>
          <w:rtl w:val="0"/>
        </w:rPr>
        <w:t xml:space="preserve">Jeroen Kempkens.</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Graag uw antwoord omcirkelen en in brievenbus 26 gooien, liefst zo snel mogelijk.</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Vindt u het een goed idee om de gemeente in gebreke te stellen?</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numPr>
          <w:ilvl w:val="0"/>
          <w:numId w:val="3"/>
        </w:numPr>
        <w:ind w:left="720" w:hanging="360"/>
        <w:rPr>
          <w:u w:val="none"/>
        </w:rPr>
      </w:pPr>
      <w:r w:rsidDel="00000000" w:rsidR="00000000" w:rsidRPr="00000000">
        <w:rPr>
          <w:rtl w:val="0"/>
        </w:rPr>
        <w:t xml:space="preserve">Ja.</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numPr>
          <w:ilvl w:val="0"/>
          <w:numId w:val="2"/>
        </w:numPr>
        <w:ind w:left="720" w:hanging="360"/>
        <w:rPr>
          <w:u w:val="none"/>
        </w:rPr>
      </w:pPr>
      <w:r w:rsidDel="00000000" w:rsidR="00000000" w:rsidRPr="00000000">
        <w:rPr>
          <w:rtl w:val="0"/>
        </w:rPr>
        <w:t xml:space="preserve">Nee.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1"/>
        </w:numPr>
        <w:ind w:left="720" w:hanging="360"/>
        <w:rPr>
          <w:u w:val="none"/>
        </w:rPr>
      </w:pPr>
      <w:r w:rsidDel="00000000" w:rsidR="00000000" w:rsidRPr="00000000">
        <w:rPr>
          <w:rtl w:val="0"/>
        </w:rPr>
        <w:t xml:space="preserve">Geen mening.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Namen:</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Kavel:</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Handtekeningen: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Er is op dit moment geen mogelijkheid tot correspondentie, vragen stellen of opmerkingen insturen. Het is al erg veel werk en een servicebalie onderhouden zou te veel belasting zijn.</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b w:val="1"/>
          <w:color w:val="4d5156"/>
          <w:sz w:val="29"/>
          <w:szCs w:val="29"/>
          <w:highlight w:val="white"/>
          <w:rtl w:val="0"/>
        </w:rPr>
        <w:t xml:space="preserve">©</w:t>
      </w:r>
      <w:r w:rsidDel="00000000" w:rsidR="00000000" w:rsidRPr="00000000">
        <w:rPr>
          <w:color w:val="4d5156"/>
          <w:sz w:val="21"/>
          <w:szCs w:val="21"/>
          <w:highlight w:val="white"/>
          <w:rtl w:val="0"/>
        </w:rPr>
        <w:t xml:space="preserve"> </w:t>
      </w:r>
      <w:r w:rsidDel="00000000" w:rsidR="00000000" w:rsidRPr="00000000">
        <w:rPr>
          <w:rtl w:val="0"/>
        </w:rPr>
        <w:t xml:space="preserve">copyright Jaap Amesz, 2024 </w:t>
      </w:r>
      <w:r w:rsidDel="00000000" w:rsidR="00000000" w:rsidRPr="00000000">
        <w:rPr>
          <w:b w:val="1"/>
          <w:color w:val="4d5156"/>
          <w:sz w:val="29"/>
          <w:szCs w:val="29"/>
          <w:highlight w:val="white"/>
          <w:rtl w:val="0"/>
        </w:rPr>
        <w:t xml:space="preserve">©</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